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CF" w:rsidRPr="00195982" w:rsidRDefault="00195982">
      <w:pPr>
        <w:rPr>
          <w:b/>
        </w:rPr>
      </w:pPr>
      <w:r w:rsidRPr="00195982">
        <w:rPr>
          <w:b/>
        </w:rPr>
        <w:t xml:space="preserve">External Educational Welfare </w:t>
      </w:r>
      <w:r>
        <w:rPr>
          <w:b/>
        </w:rPr>
        <w:t xml:space="preserve">(EWO) </w:t>
      </w:r>
      <w:r w:rsidRPr="00195982">
        <w:rPr>
          <w:b/>
        </w:rPr>
        <w:t xml:space="preserve">meeting example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 w:rsidRPr="00754EE0">
              <w:rPr>
                <w:b/>
              </w:rPr>
              <w:t xml:space="preserve">Time </w:t>
            </w:r>
          </w:p>
        </w:tc>
        <w:tc>
          <w:tcPr>
            <w:tcW w:w="4508" w:type="dxa"/>
          </w:tcPr>
          <w:p w:rsidR="00195982" w:rsidRDefault="00195982" w:rsidP="005775E1">
            <w:r>
              <w:t xml:space="preserve">Student and year group </w:t>
            </w:r>
          </w:p>
        </w:tc>
      </w:tr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>
              <w:rPr>
                <w:b/>
              </w:rPr>
              <w:t>9.15</w:t>
            </w:r>
            <w:r w:rsidRPr="00754EE0">
              <w:rPr>
                <w:b/>
              </w:rPr>
              <w:t>-9.30</w:t>
            </w:r>
            <w:r>
              <w:rPr>
                <w:b/>
              </w:rPr>
              <w:t xml:space="preserve"> CASE 1 </w:t>
            </w:r>
          </w:p>
        </w:tc>
        <w:tc>
          <w:tcPr>
            <w:tcW w:w="4508" w:type="dxa"/>
          </w:tcPr>
          <w:p w:rsidR="00195982" w:rsidRDefault="00195982" w:rsidP="005775E1">
            <w:r>
              <w:t xml:space="preserve">Year 7 XX -69.52%  </w:t>
            </w:r>
          </w:p>
        </w:tc>
      </w:tr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>
              <w:rPr>
                <w:b/>
              </w:rPr>
              <w:t xml:space="preserve">9.30-9.45 CASE 2 </w:t>
            </w:r>
          </w:p>
        </w:tc>
        <w:tc>
          <w:tcPr>
            <w:tcW w:w="4508" w:type="dxa"/>
          </w:tcPr>
          <w:p w:rsidR="00195982" w:rsidRDefault="00195982" w:rsidP="005775E1">
            <w:r>
              <w:t>Year 7 XX – 72.64%</w:t>
            </w:r>
          </w:p>
        </w:tc>
      </w:tr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>
              <w:rPr>
                <w:b/>
              </w:rPr>
              <w:t xml:space="preserve">9.45-10.00am CASE 3 </w:t>
            </w:r>
          </w:p>
        </w:tc>
        <w:tc>
          <w:tcPr>
            <w:tcW w:w="4508" w:type="dxa"/>
          </w:tcPr>
          <w:p w:rsidR="00195982" w:rsidRDefault="00195982" w:rsidP="005775E1">
            <w:r>
              <w:t>Year 9 XX-38.5%</w:t>
            </w:r>
          </w:p>
        </w:tc>
      </w:tr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>
              <w:rPr>
                <w:b/>
              </w:rPr>
              <w:t>10am-10.15 CASE 4</w:t>
            </w:r>
          </w:p>
        </w:tc>
        <w:tc>
          <w:tcPr>
            <w:tcW w:w="4508" w:type="dxa"/>
          </w:tcPr>
          <w:p w:rsidR="00195982" w:rsidRDefault="00195982" w:rsidP="005775E1">
            <w:r>
              <w:t>Year 9 XX 55.77%</w:t>
            </w:r>
          </w:p>
        </w:tc>
      </w:tr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>
              <w:rPr>
                <w:b/>
              </w:rPr>
              <w:t xml:space="preserve">10.15-10.30 CASE 5 </w:t>
            </w:r>
          </w:p>
        </w:tc>
        <w:tc>
          <w:tcPr>
            <w:tcW w:w="4508" w:type="dxa"/>
          </w:tcPr>
          <w:p w:rsidR="00195982" w:rsidRDefault="00195982" w:rsidP="005775E1">
            <w:r>
              <w:t>Year 10 XX 56.73%</w:t>
            </w:r>
          </w:p>
        </w:tc>
      </w:tr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>
              <w:rPr>
                <w:b/>
              </w:rPr>
              <w:t xml:space="preserve">10.30-10.45 CASE 6 </w:t>
            </w:r>
          </w:p>
        </w:tc>
        <w:tc>
          <w:tcPr>
            <w:tcW w:w="4508" w:type="dxa"/>
          </w:tcPr>
          <w:p w:rsidR="00195982" w:rsidRDefault="00195982" w:rsidP="005775E1">
            <w:r>
              <w:t>Year 10 XX -65.38%</w:t>
            </w:r>
          </w:p>
        </w:tc>
      </w:tr>
      <w:tr w:rsidR="00195982" w:rsidTr="005775E1">
        <w:tc>
          <w:tcPr>
            <w:tcW w:w="4508" w:type="dxa"/>
          </w:tcPr>
          <w:p w:rsidR="00195982" w:rsidRDefault="00195982" w:rsidP="005775E1">
            <w:pPr>
              <w:rPr>
                <w:b/>
              </w:rPr>
            </w:pPr>
          </w:p>
        </w:tc>
        <w:tc>
          <w:tcPr>
            <w:tcW w:w="4508" w:type="dxa"/>
          </w:tcPr>
          <w:p w:rsidR="00195982" w:rsidRDefault="00195982" w:rsidP="005775E1"/>
        </w:tc>
      </w:tr>
      <w:tr w:rsidR="00195982" w:rsidTr="005775E1">
        <w:tc>
          <w:tcPr>
            <w:tcW w:w="4508" w:type="dxa"/>
          </w:tcPr>
          <w:p w:rsidR="00195982" w:rsidRPr="00754EE0" w:rsidRDefault="00195982" w:rsidP="005775E1">
            <w:pPr>
              <w:rPr>
                <w:b/>
              </w:rPr>
            </w:pPr>
            <w:r>
              <w:rPr>
                <w:b/>
              </w:rPr>
              <w:t xml:space="preserve">10.45-11.00 CASE 7 </w:t>
            </w:r>
          </w:p>
        </w:tc>
        <w:tc>
          <w:tcPr>
            <w:tcW w:w="4508" w:type="dxa"/>
          </w:tcPr>
          <w:p w:rsidR="00195982" w:rsidRDefault="00195982" w:rsidP="005775E1">
            <w:r>
              <w:t xml:space="preserve">Year 10 XX -37.31% </w:t>
            </w:r>
          </w:p>
        </w:tc>
      </w:tr>
      <w:tr w:rsidR="00195982" w:rsidTr="005775E1">
        <w:tc>
          <w:tcPr>
            <w:tcW w:w="4508" w:type="dxa"/>
          </w:tcPr>
          <w:p w:rsidR="00195982" w:rsidRDefault="00195982" w:rsidP="005775E1">
            <w:pPr>
              <w:rPr>
                <w:b/>
              </w:rPr>
            </w:pPr>
            <w:r>
              <w:rPr>
                <w:b/>
              </w:rPr>
              <w:t xml:space="preserve">11.00-11.15 CASE 8 </w:t>
            </w:r>
          </w:p>
        </w:tc>
        <w:tc>
          <w:tcPr>
            <w:tcW w:w="4508" w:type="dxa"/>
          </w:tcPr>
          <w:p w:rsidR="00195982" w:rsidRDefault="00195982" w:rsidP="005775E1">
            <w:r>
              <w:t>Year 10 XX – 69.23%</w:t>
            </w:r>
          </w:p>
        </w:tc>
      </w:tr>
      <w:tr w:rsidR="00195982" w:rsidTr="005775E1">
        <w:tc>
          <w:tcPr>
            <w:tcW w:w="4508" w:type="dxa"/>
          </w:tcPr>
          <w:p w:rsidR="00195982" w:rsidRDefault="00195982" w:rsidP="005775E1">
            <w:pPr>
              <w:rPr>
                <w:b/>
              </w:rPr>
            </w:pPr>
            <w:r>
              <w:rPr>
                <w:b/>
              </w:rPr>
              <w:t>11.15-11.30 CASE 9</w:t>
            </w:r>
          </w:p>
        </w:tc>
        <w:tc>
          <w:tcPr>
            <w:tcW w:w="4508" w:type="dxa"/>
          </w:tcPr>
          <w:p w:rsidR="00195982" w:rsidRDefault="00195982" w:rsidP="005775E1">
            <w:r>
              <w:t xml:space="preserve">Year 8 and 10 XX and XX </w:t>
            </w:r>
          </w:p>
        </w:tc>
      </w:tr>
    </w:tbl>
    <w:p w:rsidR="00754EE0" w:rsidRDefault="00754EE0" w:rsidP="00754EE0">
      <w:pPr>
        <w:pStyle w:val="xmsolistparagraph"/>
        <w:spacing w:beforeAutospacing="0" w:after="0" w:afterAutospacing="0"/>
        <w:ind w:left="720" w:hanging="360"/>
      </w:pPr>
    </w:p>
    <w:p w:rsidR="00FB7784" w:rsidRDefault="00FB7784" w:rsidP="00754EE0">
      <w:pPr>
        <w:pStyle w:val="xmsolistparagraph"/>
        <w:spacing w:beforeAutospacing="0" w:after="0" w:afterAutospacing="0"/>
        <w:ind w:left="720" w:hanging="360"/>
      </w:pPr>
    </w:p>
    <w:p w:rsidR="00195982" w:rsidRPr="00195982" w:rsidRDefault="00754EE0" w:rsidP="00754EE0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> </w:t>
      </w:r>
      <w:r w:rsidR="00195982"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1 : Information </w:t>
      </w:r>
      <w:r w:rsidR="00867711">
        <w:rPr>
          <w:rFonts w:ascii="Calibri" w:hAnsi="Calibri" w:cs="Calibri"/>
          <w:color w:val="16233A"/>
          <w:sz w:val="22"/>
          <w:szCs w:val="22"/>
        </w:rPr>
        <w:t>(long covid/potentially going to Jamaica</w:t>
      </w:r>
      <w:r w:rsidR="00867711" w:rsidRPr="00867711">
        <w:rPr>
          <w:rFonts w:ascii="Calibri" w:hAnsi="Calibri" w:cs="Calibri"/>
          <w:color w:val="16233A"/>
          <w:sz w:val="22"/>
          <w:szCs w:val="22"/>
        </w:rPr>
        <w:t>)</w:t>
      </w:r>
      <w:r w:rsidR="00867711">
        <w:rPr>
          <w:rFonts w:ascii="Calibri" w:hAnsi="Calibri" w:cs="Calibri"/>
          <w:color w:val="16233A"/>
          <w:sz w:val="22"/>
          <w:szCs w:val="22"/>
        </w:rPr>
        <w:t> </w:t>
      </w:r>
    </w:p>
    <w:p w:rsidR="00195982" w:rsidRPr="00195982" w:rsidRDefault="00195982" w:rsidP="00754EE0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</w:p>
    <w:p w:rsidR="00195982" w:rsidRPr="00195982" w:rsidRDefault="00195982" w:rsidP="00754EE0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2: Information </w:t>
      </w:r>
      <w:r w:rsidR="00867711" w:rsidRPr="00867711">
        <w:rPr>
          <w:rFonts w:ascii="Calibri" w:hAnsi="Calibri" w:cs="Calibri"/>
          <w:color w:val="16233A"/>
          <w:sz w:val="22"/>
          <w:szCs w:val="22"/>
        </w:rPr>
        <w:t>(Medical)</w:t>
      </w:r>
    </w:p>
    <w:p w:rsidR="00195982" w:rsidRPr="00195982" w:rsidRDefault="00195982" w:rsidP="00195982">
      <w:pPr>
        <w:pStyle w:val="xmsolistparagraph"/>
        <w:spacing w:beforeAutospacing="0" w:after="0" w:afterAutospacing="0"/>
        <w:ind w:left="720" w:hanging="360"/>
        <w:rPr>
          <w:b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 Case 3 : Information </w:t>
      </w:r>
      <w:r w:rsidR="00867711" w:rsidRPr="00867711">
        <w:rPr>
          <w:rFonts w:ascii="Calibri" w:hAnsi="Calibri" w:cs="Calibri"/>
          <w:color w:val="16233A"/>
          <w:sz w:val="22"/>
          <w:szCs w:val="22"/>
        </w:rPr>
        <w:t>(Long unauthorised holiday)</w:t>
      </w: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4: Information </w:t>
      </w:r>
      <w:r w:rsidR="00867711" w:rsidRPr="00867711">
        <w:rPr>
          <w:rFonts w:ascii="Calibri" w:hAnsi="Calibri" w:cs="Calibri"/>
          <w:color w:val="16233A"/>
          <w:sz w:val="22"/>
          <w:szCs w:val="22"/>
        </w:rPr>
        <w:t>(new to the academy but missing most days)</w:t>
      </w:r>
    </w:p>
    <w:p w:rsidR="00195982" w:rsidRPr="00195982" w:rsidRDefault="00195982" w:rsidP="00195982">
      <w:pPr>
        <w:pStyle w:val="xmsolistparagraph"/>
        <w:spacing w:beforeAutospacing="0" w:after="0" w:afterAutospacing="0"/>
        <w:rPr>
          <w:b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5: Information </w:t>
      </w:r>
      <w:r w:rsidR="00867711" w:rsidRPr="00867711">
        <w:rPr>
          <w:rFonts w:ascii="Calibri" w:hAnsi="Calibri" w:cs="Calibri"/>
          <w:color w:val="16233A"/>
          <w:sz w:val="22"/>
          <w:szCs w:val="22"/>
        </w:rPr>
        <w:t>You</w:t>
      </w:r>
      <w:bookmarkStart w:id="0" w:name="_GoBack"/>
      <w:bookmarkEnd w:id="0"/>
      <w:r w:rsidR="00867711" w:rsidRPr="00867711">
        <w:rPr>
          <w:rFonts w:ascii="Calibri" w:hAnsi="Calibri" w:cs="Calibri"/>
          <w:color w:val="16233A"/>
          <w:sz w:val="22"/>
          <w:szCs w:val="22"/>
        </w:rPr>
        <w:t>ng carer</w:t>
      </w:r>
      <w:r w:rsidR="00867711">
        <w:rPr>
          <w:rFonts w:ascii="Calibri" w:hAnsi="Calibri" w:cs="Calibri"/>
          <w:b/>
          <w:color w:val="16233A"/>
          <w:sz w:val="22"/>
          <w:szCs w:val="22"/>
        </w:rPr>
        <w:t xml:space="preserve"> </w:t>
      </w: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6: Information </w:t>
      </w: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7 : Information </w:t>
      </w: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8: Information </w:t>
      </w:r>
    </w:p>
    <w:p w:rsidR="00195982" w:rsidRPr="00195982" w:rsidRDefault="00195982" w:rsidP="00195982">
      <w:pPr>
        <w:pStyle w:val="xmsolistparagraph"/>
        <w:spacing w:beforeAutospacing="0" w:after="0" w:afterAutospacing="0"/>
        <w:rPr>
          <w:b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9: Information </w:t>
      </w: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</w:p>
    <w:p w:rsidR="00195982" w:rsidRPr="00195982" w:rsidRDefault="00195982" w:rsidP="00195982">
      <w:pPr>
        <w:pStyle w:val="xmsonormal"/>
        <w:rPr>
          <w:rFonts w:ascii="Calibri" w:hAnsi="Calibri" w:cs="Calibri"/>
          <w:b/>
          <w:color w:val="16233A"/>
          <w:sz w:val="22"/>
          <w:szCs w:val="22"/>
        </w:rPr>
      </w:pPr>
      <w:r w:rsidRPr="00195982">
        <w:rPr>
          <w:rFonts w:ascii="Calibri" w:hAnsi="Calibri" w:cs="Calibri"/>
          <w:b/>
          <w:color w:val="16233A"/>
          <w:sz w:val="22"/>
          <w:szCs w:val="22"/>
        </w:rPr>
        <w:t xml:space="preserve">Case 10: Information </w:t>
      </w:r>
    </w:p>
    <w:p w:rsidR="00195982" w:rsidRDefault="00195982" w:rsidP="00754EE0">
      <w:pPr>
        <w:pStyle w:val="xmsonormal"/>
      </w:pPr>
    </w:p>
    <w:p w:rsidR="00754EE0" w:rsidRDefault="00754EE0" w:rsidP="00754EE0">
      <w:pPr>
        <w:pStyle w:val="xmsonormal"/>
      </w:pPr>
      <w:r>
        <w:rPr>
          <w:rFonts w:ascii="Calibri" w:hAnsi="Calibri" w:cs="Calibri"/>
          <w:color w:val="16233A"/>
          <w:sz w:val="22"/>
          <w:szCs w:val="22"/>
        </w:rPr>
        <w:t>The next 3 PA’s are after this 10 are: </w:t>
      </w:r>
    </w:p>
    <w:p w:rsidR="00754EE0" w:rsidRDefault="00754EE0" w:rsidP="00754EE0">
      <w:pPr>
        <w:pStyle w:val="xmsonormal"/>
      </w:pPr>
      <w:r>
        <w:rPr>
          <w:rFonts w:ascii="Calibri" w:hAnsi="Calibri" w:cs="Calibri"/>
          <w:color w:val="16233A"/>
          <w:sz w:val="22"/>
          <w:szCs w:val="22"/>
        </w:rPr>
        <w:t> </w:t>
      </w:r>
    </w:p>
    <w:p w:rsidR="00754EE0" w:rsidRDefault="00754EE0" w:rsidP="00754EE0">
      <w:pPr>
        <w:pStyle w:val="xmsolistparagraph"/>
        <w:spacing w:beforeAutospacing="0" w:after="0" w:afterAutospacing="0"/>
        <w:ind w:left="720" w:hanging="360"/>
      </w:pPr>
      <w:r w:rsidRPr="00754EE0">
        <w:rPr>
          <w:rFonts w:ascii="Calibri" w:hAnsi="Calibri" w:cs="Calibri"/>
          <w:color w:val="16233A"/>
          <w:sz w:val="22"/>
          <w:szCs w:val="22"/>
          <w:highlight w:val="green"/>
        </w:rPr>
        <w:t>1.</w:t>
      </w:r>
      <w:r w:rsidRPr="00754EE0">
        <w:rPr>
          <w:color w:val="16233A"/>
          <w:sz w:val="14"/>
          <w:szCs w:val="14"/>
          <w:highlight w:val="green"/>
        </w:rPr>
        <w:t>      </w:t>
      </w:r>
      <w:r w:rsidRPr="00754EE0">
        <w:rPr>
          <w:rStyle w:val="xapple-converted-space"/>
          <w:color w:val="16233A"/>
          <w:sz w:val="14"/>
          <w:szCs w:val="14"/>
          <w:highlight w:val="green"/>
        </w:rPr>
        <w:t> </w:t>
      </w:r>
      <w:r w:rsidR="00195982">
        <w:rPr>
          <w:rFonts w:ascii="Calibri" w:hAnsi="Calibri" w:cs="Calibri"/>
          <w:color w:val="16233A"/>
          <w:sz w:val="22"/>
          <w:szCs w:val="22"/>
          <w:highlight w:val="green"/>
        </w:rPr>
        <w:t>XX – 69.52%</w:t>
      </w:r>
    </w:p>
    <w:p w:rsidR="00754EE0" w:rsidRDefault="00754EE0" w:rsidP="00754EE0">
      <w:pPr>
        <w:pStyle w:val="xmsolistparagraph"/>
        <w:spacing w:beforeAutospacing="0" w:after="0" w:afterAutospacing="0"/>
        <w:ind w:left="720" w:hanging="360"/>
      </w:pPr>
      <w:r w:rsidRPr="004965F7">
        <w:rPr>
          <w:rFonts w:ascii="Calibri" w:hAnsi="Calibri" w:cs="Calibri"/>
          <w:color w:val="16233A"/>
          <w:sz w:val="22"/>
          <w:szCs w:val="22"/>
          <w:highlight w:val="green"/>
        </w:rPr>
        <w:t>2.</w:t>
      </w:r>
      <w:r w:rsidRPr="004965F7">
        <w:rPr>
          <w:color w:val="16233A"/>
          <w:sz w:val="14"/>
          <w:szCs w:val="14"/>
          <w:highlight w:val="green"/>
        </w:rPr>
        <w:t>      </w:t>
      </w:r>
      <w:r w:rsidRPr="004965F7">
        <w:rPr>
          <w:rStyle w:val="xapple-converted-space"/>
          <w:color w:val="16233A"/>
          <w:sz w:val="14"/>
          <w:szCs w:val="14"/>
          <w:highlight w:val="green"/>
        </w:rPr>
        <w:t> </w:t>
      </w:r>
      <w:r w:rsidR="00195982">
        <w:rPr>
          <w:rFonts w:ascii="Calibri" w:hAnsi="Calibri" w:cs="Calibri"/>
          <w:color w:val="16233A"/>
          <w:sz w:val="22"/>
          <w:szCs w:val="22"/>
          <w:highlight w:val="green"/>
        </w:rPr>
        <w:t>XX</w:t>
      </w:r>
      <w:r w:rsidRPr="004965F7">
        <w:rPr>
          <w:rFonts w:ascii="Calibri" w:hAnsi="Calibri" w:cs="Calibri"/>
          <w:color w:val="16233A"/>
          <w:sz w:val="22"/>
          <w:szCs w:val="22"/>
          <w:highlight w:val="green"/>
        </w:rPr>
        <w:t xml:space="preserve"> – 70.19%</w:t>
      </w:r>
      <w:r w:rsidR="00946F0C">
        <w:rPr>
          <w:rFonts w:ascii="Calibri" w:hAnsi="Calibri" w:cs="Calibri"/>
          <w:color w:val="16233A"/>
          <w:sz w:val="22"/>
          <w:szCs w:val="22"/>
        </w:rPr>
        <w:t xml:space="preserve"> </w:t>
      </w:r>
      <w:r w:rsidR="004965F7">
        <w:rPr>
          <w:rFonts w:ascii="Calibri" w:hAnsi="Calibri" w:cs="Calibri"/>
          <w:color w:val="16233A"/>
          <w:sz w:val="22"/>
          <w:szCs w:val="22"/>
        </w:rPr>
        <w:t xml:space="preserve">(and brother </w:t>
      </w:r>
      <w:r w:rsidR="00195982">
        <w:rPr>
          <w:rFonts w:ascii="Calibri" w:hAnsi="Calibri" w:cs="Calibri"/>
          <w:color w:val="16233A"/>
          <w:sz w:val="22"/>
          <w:szCs w:val="22"/>
        </w:rPr>
        <w:t>XX</w:t>
      </w:r>
      <w:r w:rsidR="004965F7">
        <w:rPr>
          <w:rFonts w:ascii="Calibri" w:hAnsi="Calibri" w:cs="Calibri"/>
          <w:color w:val="16233A"/>
          <w:sz w:val="22"/>
          <w:szCs w:val="22"/>
        </w:rPr>
        <w:t>)</w:t>
      </w:r>
      <w:r w:rsidR="00867711">
        <w:rPr>
          <w:rFonts w:ascii="Calibri" w:hAnsi="Calibri" w:cs="Calibri"/>
          <w:color w:val="16233A"/>
          <w:sz w:val="22"/>
          <w:szCs w:val="22"/>
        </w:rPr>
        <w:t xml:space="preserve"> – siblings both with low attendance </w:t>
      </w:r>
    </w:p>
    <w:p w:rsidR="00754EE0" w:rsidRDefault="00754EE0" w:rsidP="00754EE0">
      <w:pPr>
        <w:pStyle w:val="xmsolistparagraph"/>
        <w:spacing w:beforeAutospacing="0" w:after="0" w:afterAutospacing="0"/>
        <w:ind w:left="720" w:hanging="360"/>
      </w:pPr>
      <w:r w:rsidRPr="00754EE0">
        <w:rPr>
          <w:rFonts w:ascii="Calibri" w:hAnsi="Calibri" w:cs="Calibri"/>
          <w:color w:val="16233A"/>
          <w:sz w:val="22"/>
          <w:szCs w:val="22"/>
          <w:highlight w:val="green"/>
        </w:rPr>
        <w:t>3.</w:t>
      </w:r>
      <w:r w:rsidRPr="00754EE0">
        <w:rPr>
          <w:color w:val="16233A"/>
          <w:sz w:val="14"/>
          <w:szCs w:val="14"/>
          <w:highlight w:val="green"/>
        </w:rPr>
        <w:t>      </w:t>
      </w:r>
      <w:r w:rsidRPr="00754EE0">
        <w:rPr>
          <w:rStyle w:val="xapple-converted-space"/>
          <w:color w:val="16233A"/>
          <w:sz w:val="14"/>
          <w:szCs w:val="14"/>
          <w:highlight w:val="green"/>
        </w:rPr>
        <w:t> </w:t>
      </w:r>
      <w:r w:rsidR="00195982">
        <w:rPr>
          <w:rFonts w:ascii="Calibri" w:hAnsi="Calibri" w:cs="Calibri"/>
          <w:color w:val="16233A"/>
          <w:sz w:val="22"/>
          <w:szCs w:val="22"/>
          <w:highlight w:val="green"/>
        </w:rPr>
        <w:t>XX</w:t>
      </w:r>
      <w:r w:rsidRPr="00754EE0">
        <w:rPr>
          <w:rFonts w:ascii="Calibri" w:hAnsi="Calibri" w:cs="Calibri"/>
          <w:color w:val="16233A"/>
          <w:sz w:val="22"/>
          <w:szCs w:val="22"/>
          <w:highlight w:val="green"/>
        </w:rPr>
        <w:t xml:space="preserve"> – 72.64%</w:t>
      </w:r>
    </w:p>
    <w:p w:rsidR="00754EE0" w:rsidRDefault="00754EE0"/>
    <w:sectPr w:rsidR="00754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82" w:rsidRDefault="00195982" w:rsidP="00195982">
      <w:pPr>
        <w:spacing w:after="0" w:line="240" w:lineRule="auto"/>
      </w:pPr>
      <w:r>
        <w:separator/>
      </w:r>
    </w:p>
  </w:endnote>
  <w:endnote w:type="continuationSeparator" w:id="0">
    <w:p w:rsidR="00195982" w:rsidRDefault="00195982" w:rsidP="0019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82" w:rsidRDefault="00195982" w:rsidP="00195982">
      <w:pPr>
        <w:spacing w:after="0" w:line="240" w:lineRule="auto"/>
      </w:pPr>
      <w:r>
        <w:separator/>
      </w:r>
    </w:p>
  </w:footnote>
  <w:footnote w:type="continuationSeparator" w:id="0">
    <w:p w:rsidR="00195982" w:rsidRDefault="00195982" w:rsidP="00195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0"/>
    <w:rsid w:val="00195982"/>
    <w:rsid w:val="004965F7"/>
    <w:rsid w:val="00754EE0"/>
    <w:rsid w:val="00867711"/>
    <w:rsid w:val="008C3DA2"/>
    <w:rsid w:val="00946F0C"/>
    <w:rsid w:val="00B50817"/>
    <w:rsid w:val="00CF21CF"/>
    <w:rsid w:val="00DD4366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1262"/>
  <w15:chartTrackingRefBased/>
  <w15:docId w15:val="{8107EA27-ACDA-4014-B543-275F07B6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54E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754E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754EE0"/>
  </w:style>
  <w:style w:type="paragraph" w:styleId="Header">
    <w:name w:val="header"/>
    <w:basedOn w:val="Normal"/>
    <w:link w:val="HeaderChar"/>
    <w:uiPriority w:val="99"/>
    <w:unhideWhenUsed/>
    <w:rsid w:val="0019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82"/>
  </w:style>
  <w:style w:type="paragraph" w:styleId="Footer">
    <w:name w:val="footer"/>
    <w:basedOn w:val="Normal"/>
    <w:link w:val="FooterChar"/>
    <w:uiPriority w:val="99"/>
    <w:unhideWhenUsed/>
    <w:rsid w:val="0019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Lewis-Gordon - BWA Staff</dc:creator>
  <cp:keywords/>
  <dc:description/>
  <cp:lastModifiedBy>Mrs C Lewis-Gordon - BWA Staff</cp:lastModifiedBy>
  <cp:revision>3</cp:revision>
  <dcterms:created xsi:type="dcterms:W3CDTF">2023-11-29T07:20:00Z</dcterms:created>
  <dcterms:modified xsi:type="dcterms:W3CDTF">2023-11-29T07:23:00Z</dcterms:modified>
</cp:coreProperties>
</file>